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or 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Training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946FAC9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2B8305B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(days) 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39B55A25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20../20..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F3E0123" w:rsidR="00116FBB" w:rsidRPr="00DC68F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DC68F8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DC68F8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</w:rPr>
      </w:pPr>
      <w:r w:rsidRPr="00DC68F8">
        <w:rPr>
          <w:rFonts w:asciiTheme="minorHAnsi" w:hAnsiTheme="minorHAnsi" w:cstheme="minorHAnsi"/>
          <w:b/>
          <w:bCs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6F0108">
        <w:rPr>
          <w:rFonts w:asciiTheme="minorHAnsi" w:hAnsiTheme="minorHAnsi" w:cstheme="minorHAnsi"/>
          <w:b/>
          <w:bCs/>
        </w:rPr>
        <w:t>:</w:t>
      </w:r>
      <w:r w:rsidR="002271C9" w:rsidRPr="00DC68F8">
        <w:rPr>
          <w:rFonts w:asciiTheme="minorHAnsi" w:hAnsiTheme="minorHAnsi" w:cstheme="minorHAnsi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DC68F8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B7F5" w14:textId="77777777" w:rsidR="009B5BCA" w:rsidRDefault="009B5BCA">
      <w:r>
        <w:separator/>
      </w:r>
    </w:p>
  </w:endnote>
  <w:endnote w:type="continuationSeparator" w:id="0">
    <w:p w14:paraId="39FCAEAE" w14:textId="77777777" w:rsidR="009B5BCA" w:rsidRDefault="009B5BCA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9901" w14:textId="77777777" w:rsidR="009B5BCA" w:rsidRDefault="009B5BCA">
      <w:r>
        <w:separator/>
      </w:r>
    </w:p>
  </w:footnote>
  <w:footnote w:type="continuationSeparator" w:id="0">
    <w:p w14:paraId="6F9A3092" w14:textId="77777777" w:rsidR="009B5BCA" w:rsidRDefault="009B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d66e-9fd6-4904-be2a-7d27cb902ed1" xsi:nil="true"/>
    <Contractexpiring xmlns="8b58f893-972b-4fc1-bea3-e3d0b2f31f30" xsi:nil="true"/>
    <lcf76f155ced4ddcb4097134ff3c332f xmlns="8b58f893-972b-4fc1-bea3-e3d0b2f31f30">
      <Terms xmlns="http://schemas.microsoft.com/office/infopath/2007/PartnerControls"/>
    </lcf76f155ced4ddcb4097134ff3c332f>
    <St_x00e1_tusz xmlns="8b58f893-972b-4fc1-bea3-e3d0b2f31f30" xsi:nil="true"/>
    <AgentStatus xmlns="8b58f893-972b-4fc1-bea3-e3d0b2f31f30" xsi:nil="true"/>
    <Hat_x00e1_rid_x0151_ xmlns="8b58f893-972b-4fc1-bea3-e3d0b2f31f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A5D36A7BD4334DA4958EB62B935014" ma:contentTypeVersion="21" ma:contentTypeDescription="Új dokumentum létrehozása." ma:contentTypeScope="" ma:versionID="7197e3c1420f3e14d7c763919c596f73">
  <xsd:schema xmlns:xsd="http://www.w3.org/2001/XMLSchema" xmlns:xs="http://www.w3.org/2001/XMLSchema" xmlns:p="http://schemas.microsoft.com/office/2006/metadata/properties" xmlns:ns2="8b58f893-972b-4fc1-bea3-e3d0b2f31f30" xmlns:ns3="4aedd66e-9fd6-4904-be2a-7d27cb902ed1" targetNamespace="http://schemas.microsoft.com/office/2006/metadata/properties" ma:root="true" ma:fieldsID="b0f2a5285a199deef1c6e2b64fc3e0b7" ns2:_="" ns3:_="">
    <xsd:import namespace="8b58f893-972b-4fc1-bea3-e3d0b2f31f30"/>
    <xsd:import namespace="4aedd66e-9fd6-4904-be2a-7d27cb902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t_x00e1_tusz" minOccurs="0"/>
                <xsd:element ref="ns2:Hat_x00e1_rid_x0151_" minOccurs="0"/>
                <xsd:element ref="ns2:AgentStatus" minOccurs="0"/>
                <xsd:element ref="ns2:Contractexpi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f893-972b-4fc1-bea3-e3d0b2f3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_x00e1_tusz" ma:index="23" nillable="true" ma:displayName="Státusz" ma:format="Dropdown" ma:internalName="St_x00e1_tusz">
      <xsd:simpleType>
        <xsd:restriction base="dms:Choice">
          <xsd:enumeration value="Lektorálás"/>
          <xsd:enumeration value="Kész"/>
          <xsd:enumeration value="Fordítás"/>
          <xsd:enumeration value="Üres"/>
          <xsd:enumeration value="Nem szükséges"/>
          <xsd:enumeration value="Folyamatban"/>
        </xsd:restriction>
      </xsd:simpleType>
    </xsd:element>
    <xsd:element name="Hat_x00e1_rid_x0151_" ma:index="24" nillable="true" ma:displayName="Határidő" ma:format="Dropdown" ma:internalName="Hat_x00e1_rid_x0151_">
      <xsd:simpleType>
        <xsd:restriction base="dms:Choice">
          <xsd:enumeration value="2024. október 15."/>
          <xsd:enumeration value="2024. november 15."/>
        </xsd:restriction>
      </xsd:simpleType>
    </xsd:element>
    <xsd:element name="AgentStatus" ma:index="25" nillable="true" ma:displayName="Status" ma:description="Meglévő szerződés és kapcsolattartás alapján kategorizálás" ma:format="Dropdown" ma:internalName="AgentStatus">
      <xsd:simpleType>
        <xsd:union memberTypes="dms:Text">
          <xsd:simpleType>
            <xsd:restriction base="dms:Choice">
              <xsd:enumeration value="Active"/>
              <xsd:enumeration value="Pending"/>
              <xsd:enumeration value="Expired"/>
            </xsd:restriction>
          </xsd:simpleType>
        </xsd:union>
      </xsd:simpleType>
    </xsd:element>
    <xsd:element name="Contractexpiring" ma:index="26" nillable="true" ma:displayName="Contract expiring" ma:description="Határozott időtartalmú szerződés lejárta" ma:format="DateOnly" ma:internalName="Contractexpir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d66e-9fd6-4904-be2a-7d27cb902e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357146-07c0-4cc3-9956-ab8dc3016efc}" ma:internalName="TaxCatchAll" ma:showField="CatchAllData" ma:web="4aedd66e-9fd6-4904-be2a-7d27cb902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82550-D5D1-4795-BDF7-B9D203C52780}"/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44</TotalTime>
  <Pages>3</Pages>
  <Words>386</Words>
  <Characters>2668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Tordai Zsanett</cp:lastModifiedBy>
  <cp:revision>30</cp:revision>
  <cp:lastPrinted>2013-11-06T08:46:00Z</cp:lastPrinted>
  <dcterms:created xsi:type="dcterms:W3CDTF">2024-04-22T09:16:00Z</dcterms:created>
  <dcterms:modified xsi:type="dcterms:W3CDTF">2024-05-14T08:46:00Z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0x01010058A5D36A7BD4334DA4958EB62B935014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